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4EDE">
      <w:pPr>
        <w:spacing w:before="130" w:line="222" w:lineRule="auto"/>
        <w:jc w:val="both"/>
        <w:rPr>
          <w:rFonts w:hint="eastAsia" w:ascii="仿宋" w:hAnsi="仿宋" w:eastAsia="仿宋" w:cs="仿宋"/>
          <w:color w:val="auto"/>
          <w:spacing w:val="-1"/>
          <w:sz w:val="32"/>
          <w:szCs w:val="32"/>
          <w:lang w:val="en-US" w:eastAsia="zh-CN"/>
        </w:rPr>
      </w:pPr>
      <w:r>
        <w:rPr>
          <w:rFonts w:hint="eastAsia" w:ascii="仿宋" w:hAnsi="仿宋" w:eastAsia="仿宋" w:cs="仿宋"/>
          <w:color w:val="auto"/>
          <w:spacing w:val="-1"/>
          <w:sz w:val="32"/>
          <w:szCs w:val="32"/>
          <w:lang w:eastAsia="zh-CN"/>
        </w:rPr>
        <w:t>附件</w:t>
      </w:r>
      <w:r>
        <w:rPr>
          <w:rFonts w:hint="eastAsia" w:ascii="仿宋" w:hAnsi="仿宋" w:eastAsia="仿宋" w:cs="仿宋"/>
          <w:color w:val="auto"/>
          <w:spacing w:val="-1"/>
          <w:sz w:val="32"/>
          <w:szCs w:val="32"/>
          <w:lang w:val="en-US" w:eastAsia="zh-CN"/>
        </w:rPr>
        <w:t>1</w:t>
      </w:r>
    </w:p>
    <w:p w14:paraId="342B1F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1"/>
          <w:sz w:val="44"/>
          <w:szCs w:val="44"/>
          <w:lang w:val="en-US" w:eastAsia="zh-CN"/>
        </w:rPr>
      </w:pPr>
      <w:r>
        <w:rPr>
          <w:rFonts w:hint="eastAsia" w:ascii="方正小标宋简体" w:hAnsi="方正小标宋简体" w:eastAsia="方正小标宋简体" w:cs="方正小标宋简体"/>
          <w:color w:val="auto"/>
          <w:spacing w:val="-1"/>
          <w:sz w:val="44"/>
          <w:szCs w:val="44"/>
          <w:lang w:val="en-US" w:eastAsia="zh-CN"/>
        </w:rPr>
        <w:t>宣汉县第二人民医院</w:t>
      </w:r>
    </w:p>
    <w:p w14:paraId="2D4FF9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pacing w:val="-1"/>
          <w:sz w:val="44"/>
          <w:szCs w:val="44"/>
          <w:lang w:eastAsia="zh-CN"/>
        </w:rPr>
        <w:t>服务内容及预算价格</w:t>
      </w:r>
    </w:p>
    <w:bookmarkEnd w:id="0"/>
    <w:p w14:paraId="45F31676">
      <w:pPr>
        <w:spacing w:before="55" w:line="195" w:lineRule="auto"/>
        <w:ind w:right="26"/>
        <w:jc w:val="right"/>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22225</wp:posOffset>
                </wp:positionV>
                <wp:extent cx="231775" cy="1981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1775" cy="198120"/>
                        </a:xfrm>
                        <a:prstGeom prst="rect">
                          <a:avLst/>
                        </a:prstGeom>
                        <a:noFill/>
                        <a:ln>
                          <a:noFill/>
                        </a:ln>
                        <a:effectLst/>
                      </wps:spPr>
                      <wps:txbx>
                        <w:txbxContent>
                          <w:p w14:paraId="057B48DA">
                            <w:pPr>
                              <w:spacing w:before="81" w:line="216" w:lineRule="auto"/>
                              <w:ind w:left="188"/>
                              <w:rPr>
                                <w:rFonts w:ascii="宋体" w:hAnsi="宋体" w:eastAsia="宋体" w:cs="宋体"/>
                                <w:sz w:val="16"/>
                                <w:szCs w:val="16"/>
                              </w:rPr>
                            </w:pPr>
                          </w:p>
                        </w:txbxContent>
                      </wps:txbx>
                      <wps:bodyPr lIns="0" tIns="0" rIns="0" bIns="0" upright="1"/>
                    </wps:wsp>
                  </a:graphicData>
                </a:graphic>
              </wp:anchor>
            </w:drawing>
          </mc:Choice>
          <mc:Fallback>
            <w:pict>
              <v:shape id="_x0000_s1026" o:spid="_x0000_s1026" o:spt="202" type="#_x0000_t202" style="position:absolute;left:0pt;margin-left:1.4pt;margin-top:1.75pt;height:15.6pt;width:18.25pt;z-index:251659264;mso-width-relative:page;mso-height-relative:page;" filled="f" stroked="f" coordsize="21600,21600" o:gfxdata="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szOgjVAAAABQEAAA8AAAAAAAAAAQAgAAAAIgAAAGRycy9kb3ducmV2LnhtbFBL&#10;AQIUABQAAAAIAIdO4kBfOLZYwAEAAH8DAAAOAAAAAAAAAAEAIAAAACQBAABkcnMvZTJvRG9jLnht&#10;bFBLBQYAAAAABgAGAFkBAABWBQAAAAA=&#10;">
                <v:path/>
                <v:fill on="f" focussize="0,0"/>
                <v:stroke on="f"/>
                <v:imagedata o:title=""/>
                <o:lock v:ext="edit" aspectratio="f"/>
                <v:textbox inset="0mm,0mm,0mm,0mm">
                  <w:txbxContent>
                    <w:p w14:paraId="057B48DA">
                      <w:pPr>
                        <w:spacing w:before="81" w:line="216" w:lineRule="auto"/>
                        <w:ind w:left="188"/>
                        <w:rPr>
                          <w:rFonts w:ascii="宋体" w:hAnsi="宋体" w:eastAsia="宋体" w:cs="宋体"/>
                          <w:sz w:val="16"/>
                          <w:szCs w:val="16"/>
                        </w:rPr>
                      </w:pPr>
                    </w:p>
                  </w:txbxContent>
                </v:textbox>
              </v:shape>
            </w:pict>
          </mc:Fallback>
        </mc:AlternateContent>
      </w:r>
      <w:r>
        <w:rPr>
          <w:rFonts w:hint="eastAsia" w:ascii="仿宋" w:hAnsi="仿宋" w:eastAsia="仿宋" w:cs="仿宋"/>
          <w:color w:val="auto"/>
          <w:spacing w:val="8"/>
          <w:sz w:val="28"/>
          <w:szCs w:val="28"/>
        </w:rPr>
        <w:t>金</w:t>
      </w:r>
      <w:r>
        <w:rPr>
          <w:rFonts w:hint="eastAsia" w:ascii="仿宋" w:hAnsi="仿宋" w:eastAsia="仿宋" w:cs="仿宋"/>
          <w:color w:val="auto"/>
          <w:spacing w:val="4"/>
          <w:sz w:val="28"/>
          <w:szCs w:val="28"/>
        </w:rPr>
        <w:t>额单位：元</w:t>
      </w:r>
    </w:p>
    <w:tbl>
      <w:tblPr>
        <w:tblStyle w:val="3"/>
        <w:tblW w:w="5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5125"/>
        <w:gridCol w:w="3254"/>
      </w:tblGrid>
      <w:tr w14:paraId="7C31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80" w:type="pct"/>
            <w:noWrap w:val="0"/>
            <w:vAlign w:val="center"/>
          </w:tcPr>
          <w:p w14:paraId="5B4F4999">
            <w:pPr>
              <w:spacing w:after="0"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序号</w:t>
            </w:r>
          </w:p>
        </w:tc>
        <w:tc>
          <w:tcPr>
            <w:tcW w:w="2764" w:type="pct"/>
            <w:noWrap w:val="0"/>
            <w:vAlign w:val="center"/>
          </w:tcPr>
          <w:p w14:paraId="217BC501">
            <w:pPr>
              <w:spacing w:after="0"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服务内容</w:t>
            </w:r>
          </w:p>
        </w:tc>
        <w:tc>
          <w:tcPr>
            <w:tcW w:w="1755" w:type="pct"/>
            <w:noWrap w:val="0"/>
            <w:vAlign w:val="center"/>
          </w:tcPr>
          <w:p w14:paraId="72BF323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含税</w:t>
            </w:r>
            <w:r>
              <w:rPr>
                <w:rFonts w:hint="eastAsia" w:ascii="仿宋" w:hAnsi="仿宋" w:eastAsia="仿宋" w:cs="仿宋"/>
                <w:b/>
                <w:bCs/>
                <w:color w:val="auto"/>
                <w:sz w:val="30"/>
                <w:szCs w:val="30"/>
                <w:lang w:eastAsia="zh-CN"/>
              </w:rPr>
              <w:t>最高限价</w:t>
            </w:r>
            <w:r>
              <w:rPr>
                <w:rFonts w:hint="eastAsia" w:ascii="仿宋" w:hAnsi="仿宋" w:eastAsia="仿宋" w:cs="仿宋"/>
                <w:b/>
                <w:bCs/>
                <w:color w:val="auto"/>
                <w:sz w:val="30"/>
                <w:szCs w:val="30"/>
              </w:rPr>
              <w:t>（元/年）</w:t>
            </w:r>
          </w:p>
        </w:tc>
      </w:tr>
      <w:tr w14:paraId="4CDD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480" w:type="pct"/>
            <w:noWrap w:val="0"/>
            <w:vAlign w:val="center"/>
          </w:tcPr>
          <w:p w14:paraId="2A02C8B0">
            <w:pPr>
              <w:spacing w:after="0" w:line="360" w:lineRule="auto"/>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p>
        </w:tc>
        <w:tc>
          <w:tcPr>
            <w:tcW w:w="2764" w:type="pct"/>
            <w:noWrap w:val="0"/>
            <w:vAlign w:val="center"/>
          </w:tcPr>
          <w:p w14:paraId="487632A0">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（1）具体监测项目及方法（见附件2）。</w:t>
            </w:r>
          </w:p>
          <w:p w14:paraId="69A17131">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（2）负责宣汉县第二人民医院排污许可证的变更。</w:t>
            </w:r>
          </w:p>
          <w:p w14:paraId="44F10A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（3）负责将医疗废水手工监测结果上传至全国污染源监测数据管理与共享系统。</w:t>
            </w:r>
          </w:p>
          <w:p w14:paraId="102E05A5">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（4）负责所有手工监测污水标本的转运。</w:t>
            </w:r>
          </w:p>
          <w:p w14:paraId="75080216">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（5）完成检测后及时向甲方提供手工监测纸质报告原件（2份）。</w:t>
            </w:r>
          </w:p>
          <w:p w14:paraId="169CC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kern w:val="2"/>
                <w:sz w:val="28"/>
                <w:szCs w:val="28"/>
                <w:lang w:val="en-US" w:eastAsia="zh-CN" w:bidi="ar-SA"/>
              </w:rPr>
              <w:t>在线监测设备故障时需按照要求进行手工监测，并将监测数据上传至重点排污单位自动监控与基础数据库系统(企业服务端)。</w:t>
            </w:r>
          </w:p>
        </w:tc>
        <w:tc>
          <w:tcPr>
            <w:tcW w:w="1755" w:type="pct"/>
            <w:noWrap w:val="0"/>
            <w:vAlign w:val="center"/>
          </w:tcPr>
          <w:p w14:paraId="70FB34BC">
            <w:pPr>
              <w:spacing w:after="0"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2.98万/年</w:t>
            </w:r>
          </w:p>
        </w:tc>
      </w:tr>
      <w:tr w14:paraId="680F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0" w:type="pct"/>
            <w:noWrap w:val="0"/>
            <w:vAlign w:val="center"/>
          </w:tcPr>
          <w:p w14:paraId="11536B3E">
            <w:pPr>
              <w:spacing w:after="0"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4519" w:type="pct"/>
            <w:gridSpan w:val="2"/>
            <w:noWrap w:val="0"/>
            <w:vAlign w:val="center"/>
          </w:tcPr>
          <w:p w14:paraId="4FCA7E0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highlight w:val="none"/>
                <w:lang w:eastAsia="zh-CN"/>
              </w:rPr>
              <w:t>付款方式：合同签订后，每服务</w:t>
            </w:r>
            <w:r>
              <w:rPr>
                <w:rFonts w:hint="eastAsia" w:ascii="仿宋" w:hAnsi="仿宋" w:eastAsia="仿宋" w:cs="仿宋"/>
                <w:b w:val="0"/>
                <w:bCs w:val="0"/>
                <w:color w:val="auto"/>
                <w:sz w:val="28"/>
                <w:szCs w:val="28"/>
                <w:highlight w:val="none"/>
                <w:lang w:val="en-US" w:eastAsia="zh-CN"/>
              </w:rPr>
              <w:t>6个月</w:t>
            </w:r>
            <w:r>
              <w:rPr>
                <w:rFonts w:hint="eastAsia" w:ascii="仿宋" w:hAnsi="仿宋" w:eastAsia="仿宋" w:cs="仿宋"/>
                <w:b w:val="0"/>
                <w:bCs w:val="0"/>
                <w:color w:val="auto"/>
                <w:sz w:val="28"/>
                <w:szCs w:val="28"/>
                <w:highlight w:val="none"/>
                <w:lang w:eastAsia="zh-CN"/>
              </w:rPr>
              <w:t>后支付合同总额的</w:t>
            </w:r>
            <w:r>
              <w:rPr>
                <w:rFonts w:hint="eastAsia" w:ascii="仿宋" w:hAnsi="仿宋" w:eastAsia="仿宋" w:cs="仿宋"/>
                <w:b w:val="0"/>
                <w:bCs w:val="0"/>
                <w:color w:val="auto"/>
                <w:sz w:val="28"/>
                <w:szCs w:val="28"/>
                <w:highlight w:val="none"/>
                <w:lang w:val="en-US" w:eastAsia="zh-CN"/>
              </w:rPr>
              <w:t>50%。</w:t>
            </w:r>
          </w:p>
        </w:tc>
      </w:tr>
    </w:tbl>
    <w:p w14:paraId="29DA73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D7F2F"/>
    <w:rsid w:val="015D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2025-10-17T06:48:00Z</dcterms:created>
  <dc:creator>•</dc:creator>
  <cp:lastModifiedBy>•</cp:lastModifiedBy>
  <dcterms:modified xsi:type="dcterms:W3CDTF">2025-10-17T06:51:39Z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A3E0658245F44D94A1BBE1F840185E1A_11</vt:lpwstr>
  </property>
  <property fmtid="{D5CDD505-2E9C-101B-9397-08002B2CF9AE}" pid="4" name="KSOTemplateDocerSaveRecord">
    <vt:lpwstr>eyJoZGlkIjoiN2ExNzVlMGI3YzU5NWM5OGEyNjM1MTlkNGVjY2JhM2MiLCJ1c2VySWQiOiI1MTk2NjExNDYifQ==</vt:lpwstr>
  </property>
</Properties>
</file>